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GenDKKostV — Inkrafttreten</w:t>
      </w:r>
    </w:p>
    <w:p>
      <w:r>
        <w:rPr>
          <w:color w:val="555555"/>
          <w:sz w:val="18"/>
        </w:rPr>
        <w:t xml:space="preserve">Gendiagnostik-Kommission-Kostenverordnung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GenDKKostV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https://recht.nulegal.eu/gesetze/GenDKKostV/3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