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GenDKKostV — Anwendungsbereich</w:t>
      </w:r>
    </w:p>
    <w:p>
      <w:r>
        <w:rPr>
          <w:color w:val="555555"/>
          <w:sz w:val="18"/>
        </w:rPr>
        <w:t xml:space="preserve">Gendiagnostik-Kommission-Kostenverordnung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Stellungnahmen der Gendiagnostik-Kommission gemäß § 16 Absatz 2 und § 23 Absatz 5 des Gendiagnostikgesetzes erhebt das Robert Koch-Institut zur Deckung des Verwaltungsaufwandes Gebühren und Auslagen nach dieser Verordnung.</w:t>
      </w:r>
    </w:p>
    <w:p>
      <w:r>
        <w:rPr>
          <w:color w:val="555555"/>
          <w:sz w:val="17"/>
        </w:rPr>
        <w:t xml:space="preserve">Zitiervorschlag: § 1 GenDKKostV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https://recht.nulegal.eu/gesetze/GenDKKostV/1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