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GenDG — Inkrafttreten</w:t>
      </w:r>
    </w:p>
    <w:p>
      <w:r>
        <w:rPr>
          <w:color w:val="555555"/>
          <w:sz w:val="18"/>
        </w:rPr>
        <w:t xml:space="preserve">Gendiagnostikgesetz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Februar 2010 in Kraft, soweit in den folgenden Absätzen nichts Abweichendes bestimmt ist.</w:t>
      </w:r>
    </w:p>
    <w:p>
      <w:r>
        <w:t xml:space="preserve">(2) Die §§ 6, 20 Abs. 3, die §§ 23 und 24 treten am Tag nach der Verkündung in Kraft.</w:t>
      </w:r>
    </w:p>
    <w:p>
      <w:r>
        <w:t xml:space="preserve">(3) § 5 tritt am 1. Februar 2011 in Kraft.</w:t>
      </w:r>
    </w:p>
    <w:p>
      <w:r>
        <w:t xml:space="preserve">(4) § 7 Abs. 3 tritt am 1. Februar 2012 in Kraft.</w:t>
      </w:r>
    </w:p>
    <w:p>
      <w:r>
        <w:rPr>
          <w:color w:val="555555"/>
          <w:sz w:val="17"/>
        </w:rPr>
        <w:t xml:space="preserve">Zitiervorschlag: § 27 GenDG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