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GenDG — Bußgeldvorschriften</w:t>
      </w:r>
    </w:p>
    <w:p>
      <w:r>
        <w:rPr>
          <w:color w:val="555555"/>
          <w:sz w:val="18"/>
        </w:rPr>
        <w:t xml:space="preserve">Gendiagnostikgesetz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7 Absatz 1 oder 2, auch in Verbindung mit § 17 Absatz 4 Satz 2, oder entgegen § 17 Absatz 4 Satz 1 oder § 20 Absatz 1 Nummer 1 eine genetische Untersuchung oder Analyse vornimmt,</w:t>
      </w:r>
    </w:p>
    <w:p>
      <w:pPr>
        <w:ind w:left="420"/>
      </w:pPr>
      <w:r>
        <w:t xml:space="preserve">1a. entgegen § 13 Absatz 1 Satz 1 oder Absatz 2, jeweils auch in Verbindung mit § 17 Absatz 5, eine genetische Probe verwendet,</w:t>
      </w:r>
    </w:p>
    <w:p>
      <w:pPr>
        <w:ind w:left="420"/>
      </w:pPr>
      <w:r>
        <w:t xml:space="preserve">1b. entgegen § 13 Absatz 1 Satz 2, auch in Verbindung mit § 17 Absatz 5, eine genetische Probe nicht oder nicht rechtzeitig vernichtet,</w:t>
      </w:r>
    </w:p>
    <w:p>
      <w:pPr>
        <w:ind w:left="420"/>
      </w:pPr>
      <w:r>
        <w:t xml:space="preserve">2. entgegen § 16 Absatz 2 Satz 1 mit einer genetischen Reihenuntersuchung beginnt oder</w:t>
      </w:r>
    </w:p>
    <w:p>
      <w:pPr>
        <w:ind w:left="420"/>
      </w:pPr>
      <w:r>
        <w:t xml:space="preserve">3. einer Rechtsverordnung nach § 6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mit einer Geldbuße bis zu fünfzigtausend Euro geahndet werden.</w:t>
      </w:r>
    </w:p>
    <w:p>
      <w:r>
        <w:t xml:space="preserve">(3) Die Absätze 1 und 2 sind nicht anzuwenden, soweit die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 unmittelbar gilt.</w:t>
      </w:r>
    </w:p>
    <w:p>
      <w:r>
        <w:rPr>
          <w:color w:val="555555"/>
          <w:sz w:val="17"/>
        </w:rPr>
        <w:t xml:space="preserve">Zitiervorschlag: § 26 GenDG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