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GenDG — Richtlinien</w:t>
      </w:r>
    </w:p>
    <w:p>
      <w:r>
        <w:rPr>
          <w:color w:val="555555"/>
          <w:sz w:val="18"/>
        </w:rPr>
        <w:t xml:space="preserve">Gendiagnostikgesetz</w:t>
      </w:r>
    </w:p>
    <w:p>
      <w:r>
        <w:rPr>
          <w:color w:val="555555"/>
          <w:sz w:val="18"/>
        </w:rPr>
        <w:t xml:space="preserve">Stand: 10.06.2019 (konsolidierte Textfassung, kein amtliches Inkrafttretensdatum)</w:t>
      </w:r>
    </w:p>
    <w:p>
      <w:r>
        <w:t xml:space="preserve">(1) Beim Robert Koch-Institut wird eine interdisziplinär zusammengesetzte, unabhängige Gendiagnostik-Kommission eingerichtet, die sich aus 13 Sachverständigen aus den Fachrichtungen Medizin und Biologie, zwei Sachverständigen aus den Fachrichtungen Ethik und Recht sowie drei Vertretern der für die Wahrnehmung der Interessen der Patientinnen und Patienten, der Verbraucherinnen und Verbraucher und der Selbsthilfe behinderter Menschen auf Bundesebene maßgeblichen Organisationen zusammensetzt. Die Mitglieder und stellvertretenden Mitglieder der Gendiagnostik-Kommission werden vom Bundesministerium für Gesundheit für die Dauer von drei Jahren berufen. Die Kommission gibt sich eine Geschäftsordnung, in der das Nähere über das Verfahren der Gendiagnostik-Kommission und die Heranziehung externer Sachverständiger festgelegt wird; die Geschäftsordnung bedarf der Zustimmung des Bundesministeriums für Gesundheit. Vertreter des Bundesministeriums für Gesundheit sowie weitere Vertreter von Bundes- und Landesbehörden können mit beratender Stimme an den Sitzungen teilnehmen.</w:t>
      </w:r>
    </w:p>
    <w:p>
      <w:r>
        <w:t xml:space="preserve">(2) Die Gendiagnostik-Kommission erstellt in Bezug auf den allgemein anerkannten Stand der Wissenschaft und Technik Richtlinien insbesondere für</w:t>
      </w:r>
    </w:p>
    <w:p>
      <w:pPr>
        <w:ind w:left="420"/>
      </w:pPr>
      <w:r>
        <w:t xml:space="preserve">1. die Beurteilung genetischer Eigenschaften hinsichtlich</w:t>
      </w:r>
    </w:p>
    <w:p>
      <w:pPr>
        <w:ind w:left="780"/>
      </w:pPr>
      <w:r>
        <w:t xml:space="preserve">a) ihrer Bedeutung für Erkrankungen oder gesundheitliche Störungen sowie die Möglichkeiten, sie zu vermeiden, ihnen vorzubeugen oder sie zu behandeln,</w:t>
      </w:r>
    </w:p>
    <w:p>
      <w:pPr>
        <w:ind w:left="780"/>
      </w:pPr>
      <w:r>
        <w:t xml:space="preserve">b) ihrer Bedeutung für die Wirkung eines Arzneimittels bei einer Behandlung,</w:t>
      </w:r>
    </w:p>
    <w:p>
      <w:pPr>
        <w:ind w:left="780"/>
      </w:pPr>
      <w:r>
        <w:t xml:space="preserve">c) der Erforderlichkeit einer genetischen Untersuchung nach § 14 Abs. 1 Nr. 1, um eine genetisch bedingte Erkrankung oder gesundheitliche Störung zu vermeiden oder zu behandeln oder dieser vorzubeugen, oder nach § 14 Abs. 2 Nr. 1 zur Klärung, ob eine bestimmte genetisch bedingte Erkrankung oder gesundheitliche Störung bei einem künftigen Abkömmling der genetisch verwandten Person auftreten kann,</w:t>
      </w:r>
    </w:p>
    <w:p>
      <w:pPr>
        <w:ind w:left="780"/>
      </w:pPr>
      <w:r>
        <w:t xml:space="preserve">d) ihrer Bedeutung nach § 15 Abs. 1 Satz 1 für eine Beeinträchtigung der Gesundheit des Embryos oder des Fötus während der Schwangerschaft oder nach der Geburt,</w:t>
      </w:r>
    </w:p>
    <w:p>
      <w:pPr>
        <w:ind w:left="780"/>
      </w:pPr>
      <w:r>
        <w:t xml:space="preserve">e) ihrer Bedeutung für die nach § 20 Abs. 3 maßgeblichen Voraussetzungen für den Erlass einer Rechtsverordnung,</w:t>
      </w:r>
    </w:p>
    <w:p>
      <w:pPr>
        <w:ind w:left="420"/>
      </w:pPr>
      <w:r>
        <w:t xml:space="preserve">2. die Anforderungen an die Qualifikation</w:t>
      </w:r>
    </w:p>
    <w:p>
      <w:pPr>
        <w:ind w:left="780"/>
      </w:pPr>
      <w:r>
        <w:t xml:space="preserve">a) zur genetischen Beratung nach § 7 Abs. 3,</w:t>
      </w:r>
    </w:p>
    <w:p>
      <w:pPr>
        <w:ind w:left="780"/>
      </w:pPr>
      <w:r>
        <w:t xml:space="preserve">b) der auf dem Gebiet der Abstammungsbegutachtung erfahrenen ärztlichen und nichtärztlichen Sachverständigen nach § 17 Abs. 4,</w:t>
      </w:r>
    </w:p>
    <w:p>
      <w:pPr>
        <w:ind w:left="420"/>
      </w:pPr>
      <w:r>
        <w:t xml:space="preserve">3. die Anforderungen an die Inhalte der Aufklärung und der genetischen Beratung,</w:t>
      </w:r>
    </w:p>
    <w:p>
      <w:pPr>
        <w:ind w:left="420"/>
      </w:pPr>
      <w:r>
        <w:t xml:space="preserve">4. die Anforderungen an die Durchführung genetischer Analysen genetischer Proben, insbesondere an die Eignung und Zuverlässigkeit der Analysemethoden, die Verlässlichkeit der Analyseergebnisse und den Befundbericht sowie an die erforderlichen Maßnahmen zur Qualitätssicherung einschließlich Art, Umfang und Häufigkeit externer Qualitätssicherungsmaßnahmen,</w:t>
      </w:r>
    </w:p>
    <w:p>
      <w:pPr>
        <w:ind w:left="420"/>
      </w:pPr>
      <w:r>
        <w:t xml:space="preserve">5. die Anforderungen an die Durchführung der vorgeburtlichen Risikoabklärung sowie an die insoweit erforderlichen Maßnahmen zur Qualitätssicherung,</w:t>
      </w:r>
    </w:p>
    <w:p>
      <w:pPr>
        <w:ind w:left="420"/>
      </w:pPr>
      <w:r>
        <w:t xml:space="preserve">6. die Anforderungen an die Durchführung genetischer Reihenuntersuchungen.</w:t>
      </w:r>
    </w:p>
    <w:p>
      <w:r>
        <w:t xml:space="preserve">(3) Das Robert Koch-Institut veröffentlicht die Richtlinien der Gendiagnostik-Kommission sowie ihre Stellungnahmen nach § 16 Abs. 2 zu den genetischen Reihenuntersuchungen.</w:t>
      </w:r>
    </w:p>
    <w:p>
      <w:r>
        <w:t xml:space="preserve">(4) Die Gendiagnostik-Kommission bewertet in einem Tätigkeitsbericht die Entwicklung in der genetischen Diagnostik. Der Bericht ist im Abstand von drei Jahren, erstmals zum Ablauf des Jahres 2012, zu erstellen und durch das Robert Koch-Institut zu veröffentlichen.</w:t>
      </w:r>
    </w:p>
    <w:p>
      <w:r>
        <w:t xml:space="preserve">(5) Die Gendiagnostik-Kommission kann auf Anfrage von Personen oder Einrichtungen, die genetische Untersuchungen oder Analysen vornehmen, gutachtliche Stellungnahmen zu Einzelfragen der Auslegung und Anwendung ihrer Richtlinien abgeben.</w:t>
      </w:r>
    </w:p>
    <w:p>
      <w:r>
        <w:rPr>
          <w:color w:val="555555"/>
          <w:sz w:val="17"/>
        </w:rPr>
        <w:t xml:space="preserve">Zitiervorschlag: § 23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