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GenDG — Anwendungsbereich</w:t>
      </w:r>
    </w:p>
    <w:p>
      <w:r>
        <w:rPr>
          <w:color w:val="555555"/>
          <w:sz w:val="18"/>
        </w:rPr>
        <w:t xml:space="preserve">Gendiagnostikgesetz</w:t>
      </w:r>
    </w:p>
    <w:p>
      <w:r>
        <w:rPr>
          <w:color w:val="555555"/>
          <w:sz w:val="18"/>
        </w:rPr>
        <w:t xml:space="preserve">Stand: 10.06.2019 (konsolidierte Textfassung, kein amtliches Inkrafttretensdatum)</w:t>
      </w:r>
    </w:p>
    <w:p>
      <w:r>
        <w:t xml:space="preserve">(1) Dieses Gesetz gilt für genetische Untersuchungen und im Rahmen genetischer Untersuchungen durchgeführte genetische Analysen bei geborenen Menschen sowie bei Embryonen und Föten während der Schwangerschaft und den Umgang mit dabei gewonnenen genetischen Proben und genetischen Daten bei genetischen Untersuchungen zu medizinischen Zwecken, zur Klärung der Abstammung sowie im Versicherungsbereich und im Arbeitsleben.</w:t>
      </w:r>
    </w:p>
    <w:p>
      <w:r>
        <w:t xml:space="preserve">(2) Dieses Gesetz gilt nicht für genetische Untersuchungen und Analysen und den Umgang mit genetischen Proben und Daten</w:t>
      </w:r>
    </w:p>
    <w:p>
      <w:pPr>
        <w:ind w:left="420"/>
      </w:pPr>
      <w:r>
        <w:t xml:space="preserve">1. zu Forschungszwecken,</w:t>
      </w:r>
    </w:p>
    <w:p>
      <w:pPr>
        <w:ind w:left="420"/>
      </w:pPr>
      <w:r>
        <w:t xml:space="preserve">2. auf Grund von Vorschriften</w:t>
      </w:r>
    </w:p>
    <w:p>
      <w:pPr>
        <w:ind w:left="780"/>
      </w:pPr>
      <w:r>
        <w:t xml:space="preserve">a) über das Strafverfahren, über die internationale Rechtshilfe in Strafsachen, des Bundeskriminalamtgesetzes und der Polizeigesetze der Länder,</w:t>
      </w:r>
    </w:p>
    <w:p>
      <w:pPr>
        <w:ind w:left="780"/>
      </w:pPr>
      <w:r>
        <w:t xml:space="preserve">b) des Infektionsschutzgesetzes und der auf Grund des Infektionsschutzgesetzes erlassenen Rechtsverordnungen.</w:t>
      </w:r>
    </w:p>
    <w:p>
      <w:r>
        <w:rPr>
          <w:color w:val="555555"/>
          <w:sz w:val="17"/>
        </w:rPr>
        <w:t xml:space="preserve">Zitiervorschlag: § 2 GenDG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