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GenDG — Genetische Untersuchungen und Analysen vor und nach Begründung des Beschäftigungsverhältnisses</w:t>
      </w:r>
    </w:p>
    <w:p>
      <w:r>
        <w:rPr>
          <w:color w:val="555555"/>
          <w:sz w:val="18"/>
        </w:rPr>
        <w:t xml:space="preserve">Gendiagnostikgesetz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darf von Beschäftigten weder vor noch nach Begründung des Beschäftigungsverhältnisses</w:t>
      </w:r>
    </w:p>
    <w:p>
      <w:pPr>
        <w:ind w:left="420"/>
      </w:pPr>
      <w:r>
        <w:t xml:space="preserve">1. die Vornahme genetischer Untersuchungen oder Analysen verlangen oder</w:t>
      </w:r>
    </w:p>
    <w:p>
      <w:pPr>
        <w:ind w:left="420"/>
      </w:pPr>
      <w:r>
        <w:t xml:space="preserve">2. die Mitteilung von Ergebnissen bereits vorgenommener genetischer Untersuchungen oder Analysen verlangen, solche Ergebnisse entgegennehmen oder verwenden.</w:t>
      </w:r>
    </w:p>
    <w:p>
      <w:r>
        <w:rPr>
          <w:color w:val="555555"/>
          <w:sz w:val="17"/>
        </w:rPr>
        <w:t xml:space="preserve">Zitiervorschlag: § 19 GenDG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