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GenDG — Zweck des Gesetzes</w:t>
      </w:r>
    </w:p>
    <w:p>
      <w:r>
        <w:rPr>
          <w:color w:val="555555"/>
          <w:sz w:val="18"/>
        </w:rPr>
        <w:t xml:space="preserve">Gendiagnostikgesetz</w:t>
      </w:r>
    </w:p>
    <w:p>
      <w:r>
        <w:rPr>
          <w:color w:val="555555"/>
          <w:sz w:val="18"/>
        </w:rPr>
        <w:t xml:space="preserve">Stand: 10.06.2019 (konsolidierte Textfassung, kein amtliches Inkrafttretensdatum)</w:t>
      </w:r>
    </w:p>
    <w:p>
      <w:r>
        <w:t xml:space="preserve">Zweck dieses Gesetzes ist es, die Voraussetzungen für genetische Untersuchungen und im Rahmen genetischer Untersuchungen durchgeführte genetische Analysen sowie die Verwendung genetischer Proben und Daten zu bestimmen und eine Benachteiligung auf Grund genetischer Eigenschaften zu verhindern, um insbesondere die staatliche Verpflichtung zur Achtung und zum Schutz der Würde des Menschen und des Rechts auf informationelle Selbstbestimmung zu wahren.</w:t>
      </w:r>
    </w:p>
    <w:p>
      <w:r>
        <w:rPr>
          <w:color w:val="555555"/>
          <w:sz w:val="17"/>
        </w:rPr>
        <w:t xml:space="preserve">Zitiervorschlag: § 1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