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GenBkBES — Auszug aus EinigVtr Anlage II Kapitel IV Abschnitt III (BGBl. II 1990, 889, 1199)</w:t>
      </w:r>
    </w:p>
    <w:p>
      <w:r>
        <w:rPr>
          <w:color w:val="555555"/>
          <w:sz w:val="18"/>
        </w:rPr>
        <w:t xml:space="preserve">Statut der Genossenschaftsbank Berlin (Anlage zur Anordnung über das Statut der Genossenschaftsbank Berlin)</w:t>
      </w:r>
    </w:p>
    <w:p>
      <w:r>
        <w:rPr>
          <w:color w:val="555555"/>
          <w:sz w:val="18"/>
        </w:rPr>
        <w:t xml:space="preserve">Stand: 10.06.2019 (konsolidierte Textfassung, kein amtliches Inkrafttretensdatum)</w:t>
      </w:r>
    </w:p>
    <w:p>
      <w:r>
        <w:t xml:space="preserve">Abschnitt III Folgendes Recht der Deutschen Demokratischen Republik bleibt mit folgenden Maßgaben in Kraft:</w:t>
      </w:r>
    </w:p>
    <w:p>
      <w:pPr>
        <w:ind w:left="420"/>
      </w:pPr>
      <w:r>
        <w:t xml:space="preserve">1. bis 4. ...</w:t>
      </w:r>
    </w:p>
    <w:p>
      <w:pPr>
        <w:ind w:left="420"/>
      </w:pPr>
      <w:r>
        <w:t xml:space="preserve">5. Anordnung über das Statut der Genossenschaftsbank Berlin vom 30. März 1990 (GBl. I Nr. 27 S. 251), geändert durch Anordnung Nr. 2 über das Statut der Genossenschaftsbank Berlin vom 23. August 1990 (GBl. I Nr. 58 S. 1426)mit folgender Maßgabe:Der Minister der Finanzen kann im Einvernehmen mit dem Bundesminister der Finanzen durch Rechtsverordnung das Statut der Genossenschaftsbank Berlin ändern, soweit dies zur Herstellung einer gesunden Struktur des genossenschaftlichen Bankwesens und zur Anpassung der Rechtsverhältnisse der Genossenschaftsbank Berlin an die anderer Kreditinstitute erforderlich ist. In der Verordnung kann auch die Umwandlung der Genossenschaftsbank Berlin in eine Kapitalgesellschaft vorgesehen oder zugelassen werden. Nach Herstellung der deutschen Einheit geht die Verordnungsermächtigung auf den Bundesminister der Finanzen über.</w:t>
      </w:r>
    </w:p>
    <w:p>
      <w:r>
        <w:t xml:space="preserve">...</w:t>
      </w:r>
    </w:p>
    <w:p>
      <w:r>
        <w:rPr>
          <w:color w:val="555555"/>
          <w:sz w:val="17"/>
        </w:rPr>
        <w:t xml:space="preserve">Zitiervorschlag: Anhang EV GenBkBES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https://recht.nulegal.eu/gesetze/GenBkBES/anhang-ev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