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GenBkBES</w:t>
      </w:r>
    </w:p>
    <w:p>
      <w:r>
        <w:rPr>
          <w:color w:val="555555"/>
          <w:sz w:val="18"/>
        </w:rPr>
        <w:t xml:space="preserve">Statut der Genossenschaftsbank Berlin (Anlage zur Anordnung über das Statut der Genossenschaftsbank Berlin)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Bilanz und Ergebnisrechnung sind auf der Grundlage der Rechtsvorschriften aufzustellen und von einem unabhängigen Prüfungsorgan zu prüfen.</w:t>
      </w:r>
    </w:p>
    <w:p>
      <w:r>
        <w:t xml:space="preserve">(2) Nach Prüfung gemäß Abs. 1 ist der Jahresabschluß festzustellen und dem Verwaltungsrat mit dem Geschäftsbericht sowie dem Vorschlag für die Ergebnisverwendung zur Bestätigung vorzulegen.</w:t>
      </w:r>
    </w:p>
    <w:p>
      <w:r>
        <w:t xml:space="preserve">(3) Das Geschäftsjahr ist das Kalenderjahr.</w:t>
      </w:r>
    </w:p>
    <w:p>
      <w:r>
        <w:rPr>
          <w:color w:val="555555"/>
          <w:sz w:val="17"/>
        </w:rPr>
        <w:t xml:space="preserve">Zitiervorschlag: § 9 GenBkBES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https://recht.nulegal.eu/gesetze/GenBkBES/9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