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GenBkBES</w:t>
      </w:r>
    </w:p>
    <w:p>
      <w:r>
        <w:rPr>
          <w:color w:val="555555"/>
          <w:sz w:val="18"/>
        </w:rPr>
        <w:t xml:space="preserve">Statut der Genossenschaftsbank Berlin (Anlage zur Anordnung über das Statut der Genossenschaftsbank Berlin)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Organe der Bank sind der Vorstand und der Verwaltungsrat.</w:t>
      </w:r>
    </w:p>
    <w:p>
      <w:r>
        <w:rPr>
          <w:color w:val="555555"/>
          <w:sz w:val="17"/>
        </w:rPr>
        <w:t xml:space="preserve">Zitiervorschlag: § 6 GenBkBES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https://recht.nulegal.eu/gesetze/GenBkBES/6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