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GenBkBES</w:t>
      </w:r>
    </w:p>
    <w:p>
      <w:r>
        <w:rPr>
          <w:color w:val="555555"/>
          <w:sz w:val="18"/>
        </w:rPr>
        <w:t xml:space="preserve">Statut der Genossenschaftsbank Berlin (Anlage zur Anordnung über das Statut der Genossenschaftsbank Berlin)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Bank ist berechtigt, sich an Genossenschaften, Handelsgesellschaften und anderen juristischen Personen zu beteiligen. Die Beteiligung bedarf der Zustimmung des Verwaltungsrates.</w:t>
      </w:r>
    </w:p>
    <w:p>
      <w:r>
        <w:t xml:space="preserve">(2) An der Bank können sich beteiligen</w:t>
      </w:r>
    </w:p>
    <w:p>
      <w:pPr>
        <w:ind w:left="420"/>
      </w:pPr>
      <w:r>
        <w:t xml:space="preserve">- Genossenschaften,</w:t>
      </w:r>
    </w:p>
    <w:p>
      <w:pPr>
        <w:ind w:left="420"/>
      </w:pPr>
      <w:r>
        <w:t xml:space="preserve">- andere juristische Personen, die mit dem Genossenschaftswesen verbunden sind.</w:t>
      </w:r>
    </w:p>
    <w:p>
      <w:r>
        <w:t xml:space="preserve">(3) Der Erwerb, die Erhöhung, Aufhebung oder Verringerung der Eigenkapitalbeteiligung an der Bank (Veränderung des Kapitalanteils) bedarf der vorherigen Zustimmung (Einwilligung) des Verwaltungsrates.</w:t>
      </w:r>
    </w:p>
    <w:p>
      <w:r>
        <w:t xml:space="preserve">(4) Der Verwaltungsrat setzt den Mindestbetrag für Kapitalbeteiligungen fest.</w:t>
      </w:r>
    </w:p>
    <w:p>
      <w:r>
        <w:t xml:space="preserve">(5) Eine Umwandlung in eine Handelsgesellschaft darf nur erfolgen, wenn in der Satzung der Handelsgesellschaft die Förderung gemäß § 1 Abs. 1 dieses Statuts sichergestellt wird.</w:t>
      </w:r>
    </w:p>
    <w:p>
      <w:r>
        <w:rPr>
          <w:color w:val="555555"/>
          <w:sz w:val="17"/>
        </w:rPr>
        <w:t xml:space="preserve">Zitiervorschlag: § 5 GenBkBES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https://recht.nulegal.eu/gesetze/GenBkBES/5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