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GenBkBES</w:t>
      </w:r>
    </w:p>
    <w:p>
      <w:r>
        <w:rPr>
          <w:color w:val="555555"/>
          <w:sz w:val="18"/>
        </w:rPr>
        <w:t xml:space="preserve">Statut der Genossenschaftsbank Berlin (Anlage zur Anordnung über das Statut der Genossenschaftsbank Berlin)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Bank unterhält Zweigniederlassungen, die zusätzliche regionale oder organisationsbezogene Bezeichnungen tragen können.</w:t>
      </w:r>
    </w:p>
    <w:p>
      <w:r>
        <w:t xml:space="preserve">(2) Über die Errichtung, Auflösung und Zusammenlegung von Zweigniederlassungen bzw. deren Verschmelzung mit anderen Genossenschaftsbanken entscheidet der Vorstand mit Zustimmung des Verwaltungsrates.</w:t>
      </w:r>
    </w:p>
    <w:p>
      <w:r>
        <w:t xml:space="preserve">(3) Der Verwaltungsrat kann mit Zustimmung des Ministers der Finanzen beschließen, daß das Vermögen der Bank als Ganzes oder zum Teil auf ein anderes Kreditinstitut der Genossenschaftsorganisation übertragen wird.</w:t>
      </w:r>
    </w:p>
    <w:p>
      <w:r>
        <w:rPr>
          <w:color w:val="555555"/>
          <w:sz w:val="17"/>
        </w:rPr>
        <w:t xml:space="preserve">Zitiervorschlag: § 3 GenBkBES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https://recht.nulegal.eu/gesetze/GenBkBES/3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