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Genossenschaftsbank Berlin ist Rechtsnachfolger der Bank für Landwirtschaft und Nahrungsgüterwirtschaft der DDR.</w:t>
      </w:r>
    </w:p>
    <w:p>
      <w:r>
        <w:t xml:space="preserve">(2) Die Schlußbilanz und der abschließende Geschäftsbericht der Bank für Landwirtschaft und Nahrungsgüterwirtschaft der DDR sowie die Eröffnungsbilanz der Genossenschaftsbank Berlin sind dem Präsidenten der Staatsbank der DDR zu übergeben.</w:t>
      </w:r>
    </w:p>
    <w:p>
      <w:r>
        <w:t xml:space="preserve">(3) Bei der Genossenschaftsbank Berlin besteht das Revisionsorgan für die landwirtschaftlichen Produktionsgenossenschaften zunächst weiter. Die Aufgaben des Revisionsorgans für die landwirtschaftlichen Produktionsgenossenschaften sind genossenschaftlichen Prüfungsverbänden zu übertragen.</w:t>
      </w:r>
    </w:p>
    <w:p>
      <w:r>
        <w:t xml:space="preserve">(4) Das bisherige Dienstsiegel der Bank für Landwirtschaft und Nahrungsgüterwirtschaft der DDR gilt bis zur Einführung des Dienstsiegels der Genossenschaftsbank Berlin weiter.</w:t>
      </w:r>
    </w:p>
    <w:p>
      <w:r>
        <w:rPr>
          <w:color w:val="555555"/>
          <w:sz w:val="17"/>
        </w:rPr>
        <w:t xml:space="preserve">Zitiervorschlag: § 11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