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GenBkBEAnO</w:t>
      </w:r>
    </w:p>
    <w:p>
      <w:r>
        <w:rPr>
          <w:color w:val="555555"/>
          <w:sz w:val="18"/>
        </w:rPr>
        <w:t xml:space="preserve">Anordnung über das Statut der Genossenschaftsbank Berlin</w:t>
      </w:r>
    </w:p>
    <w:p>
      <w:r>
        <w:rPr>
          <w:color w:val="555555"/>
          <w:sz w:val="18"/>
        </w:rPr>
        <w:t xml:space="preserve">Stand: 10.06.2019 (konsolidierte Textfassung, kein amtliches Inkrafttretensdatum)</w:t>
      </w:r>
    </w:p>
    <w:p>
      <w:r>
        <w:t xml:space="preserve">Die Allgemeinen Geschäftsbedingungen der Bank für Landwirtschaft und Nahrungsgüterwirtschaft der DDR gemäß Anordnung vom 17. November 1969 (GBl. II Nr. 93 S. 575) bleiben bis zur Bestätigung der Geschäftsbedingungen der Genossenschaftsbank Berlin in Kraft.</w:t>
      </w:r>
    </w:p>
    <w:p>
      <w:r>
        <w:rPr>
          <w:color w:val="555555"/>
          <w:sz w:val="17"/>
        </w:rPr>
        <w:t xml:space="preserve">Zitiervorschlag: § 2 GenBkBEAnO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https://recht.nulegal.eu/gesetze/GenBkBEAnO/2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