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GenBkBEAnO</w:t>
      </w:r>
    </w:p>
    <w:p>
      <w:r>
        <w:rPr>
          <w:color w:val="555555"/>
          <w:sz w:val="18"/>
        </w:rPr>
        <w:t xml:space="preserve">Anordnung über das Statut der Genossenschaftsbank Berlin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der Grundlage des § 11 des Gesetzes vom 19. Dezember 1974 über die Staatsbank der Deutschen Demokratischen Republik (GBl. I Nr. 62 S. 580) in der Fassung des Gesetzes vom 6. März 1990 zur Änderung des Gesetzes über die Staatsbank der Deutschen Demokratischen Republik (GBl. I Nr. 16 S. 125) wird das Statut der Genossenschaftsbank Berlin (Anlage) bestätigt.</w:t>
      </w:r>
    </w:p>
    <w:p>
      <w:r>
        <w:rPr>
          <w:color w:val="555555"/>
          <w:sz w:val="17"/>
        </w:rPr>
        <w:t xml:space="preserve">Zitiervorschlag: § 1 GenBkBEAnO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https://recht.nulegal.eu/gesetze/GenBkBEAnO/1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