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GenBeschlG — Inkrafttreten</w:t>
      </w:r>
    </w:p>
    <w:p>
      <w:r>
        <w:rPr>
          <w:color w:val="555555"/>
          <w:sz w:val="18"/>
        </w:rPr>
        <w:t xml:space="preserve">Genehmigungsverfahrensbeschleunigungsgesetz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Tage nach der Verkündung in Kraft.</w:t>
      </w:r>
    </w:p>
    <w:p>
      <w:r>
        <w:rPr>
          <w:color w:val="555555"/>
          <w:sz w:val="17"/>
        </w:rPr>
        <w:t xml:space="preserve">Zitiervorschlag: Art 7 GenBeschlG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https://recht.nulegal.eu/gesetze/GenBeschlG/7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