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GemVollzVO (Sachsen)</w:t>
      </w:r>
    </w:p>
    <w:p>
      <w:r>
        <w:rPr>
          <w:color w:val="555555"/>
          <w:sz w:val="18"/>
        </w:rPr>
        <w:t xml:space="preserve">Gemeindliche-Vollzugsbediensteten-Verordnung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9 Absatz 2 des Sächsischen Polizeibehördengesetzes vom 11. Mai 2019 (SächsGVBl. S. 358, 389) verordnet das Staatsministerium des Innern:</w:t>
      </w:r>
    </w:p>
    <w:p>
      <w:r>
        <w:rPr>
          <w:color w:val="555555"/>
          <w:sz w:val="17"/>
        </w:rPr>
        <w:t xml:space="preserve">Zitiervorschlag: Eingangsformel GemVollzVO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https://recht.nulegal.eu/gesetze/GemVollzVO/eingangsformel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