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GemStrÄndFördG (Brandenburg) — Bereitstellung von Haushaltsmitteln des Landes</w:t>
      </w:r>
    </w:p>
    <w:p>
      <w:r>
        <w:rPr>
          <w:color w:val="555555"/>
          <w:sz w:val="18"/>
        </w:rPr>
        <w:t xml:space="preserve">Gemeindestrukturänderungsförderungsgesetz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Finanzierung der Einmalkostenpauschale nach § 2 und der Teilentschuldung nach § 3 werden Landesmittel in Höhe von 28 000 000 Euro zur Verfügung gestellt.</w:t>
      </w:r>
    </w:p>
    <w:p>
      <w:r>
        <w:t xml:space="preserve">(2) Leistungen nach den §§ 2 und 3 werden bis zum Erreichen der Obergrenze nach Absatz 1 gewährt. Zur Gewährleistung der Obergrenze wird auf die zeitliche Reihenfolge der rechtlichen Umorganisation der Verwaltungen abgestellt.</w:t>
      </w:r>
    </w:p>
    <w:p>
      <w:r>
        <w:t xml:space="preserve">(3) Das für Kommunales zuständige Ministerium erlässt eine Verwaltungsvorschrift über die Verwendung und Verteilung der Mittel nach § 3.</w:t>
      </w:r>
    </w:p>
    <w:p>
      <w:r>
        <w:rPr>
          <w:color w:val="555555"/>
          <w:sz w:val="17"/>
        </w:rPr>
        <w:t xml:space="preserve">Zitiervorschlag: § 4 GemStrÄndFördG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https://recht.nulegal.eu/gesetze/GemStr%C3%84ndF%C3%B6rdG/4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GemStrÄndFördG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