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GemStrÄndFördG (Brandenburg) — Anwendungsbereich, Begriffsbestimmung</w:t>
      </w:r>
    </w:p>
    <w:p>
      <w:r>
        <w:rPr>
          <w:color w:val="555555"/>
          <w:sz w:val="18"/>
        </w:rPr>
        <w:t xml:space="preserve">Gemeindestrukturänderungsförderungsgesetz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gilt für alle Gemeindestrukturänderungen. Gemeindestrukturänderungen im Sinne dieses Gesetzes sind Gebietsänderungen gemäß § 6 Absatz 3 der Kommunalverfassung des Landes Brandenburg vom 18. Dezember 2007 ( GVBl. I S. 286), die zuletzt durch das Gesetz vom 29. Juni 2018 (GVBl. I Nr. 15, 19) geändert worden ist, und Änderungen, Auflösungen oder Zusammenschlüsse von Ämtern gemäß § 134 der Kommunalverfassung des Landes Brandenburg sowie die Bildung, Änderung oder Auflösung einer Verbandsgemeinde oder Mitverwaltung nach § 3 Absatz 1 und § 17 Absatz 1 des Verbandsgemeinde- und Mitverwaltungsgesetzes vom 15. Oktober 2018 (GVBl. I Nr. 22 S. 2).</w:t>
      </w:r>
    </w:p>
    <w:p>
      <w:r>
        <w:rPr>
          <w:color w:val="555555"/>
          <w:sz w:val="17"/>
        </w:rPr>
        <w:t xml:space="preserve">Zitiervorschlag: § 1 GemStrÄndFördG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https://recht.nulegal.eu/gesetze/GemStr%C3%84ndF%C3%B6rdG/1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