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5d GemFinRefG — Überweisung des Gemeindeanteils an der Umsatzsteuer</w:t>
      </w:r>
    </w:p>
    <w:p>
      <w:r>
        <w:rPr>
          <w:color w:val="555555"/>
          <w:sz w:val="18"/>
        </w:rPr>
        <w:t xml:space="preserve">Gemeindefinanzreformgesetz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Verteilung des Gemeindeanteils an der Umsatzsteuer auf die Länder wird nach § 17 des Finanzausgleichsgesetzes vom Bundesministerium der Finanzen vorgenommen. Die Weiterverteilung auf die Gemeinden obliegt den Ländern.</w:t>
      </w:r>
    </w:p>
    <w:p>
      <w:r>
        <w:t xml:space="preserve">(2) Die Landesregierungen regeln durch Rechtsverordnung das Verfahren für die Überweisung des Gemeindeanteils an der Umsatzsteuer an die Gemeinden.</w:t>
      </w:r>
    </w:p>
    <w:p>
      <w:r>
        <w:t xml:space="preserve">(3) Für die Berichtigung von Fehlern gilt § 4 entsprechend.</w:t>
      </w:r>
    </w:p>
    <w:p>
      <w:r>
        <w:rPr>
          <w:color w:val="555555"/>
          <w:sz w:val="17"/>
        </w:rPr>
        <w:t xml:space="preserve">Zitiervorschlag: § 5d GemFinRefG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https://recht.nulegal.eu/gesetze/GemFinRefG/5d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