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GemFinRefG — Übermittlung statistischer Ergebnisse</w:t>
      </w:r>
    </w:p>
    <w:p>
      <w:r>
        <w:rPr>
          <w:color w:val="555555"/>
          <w:sz w:val="18"/>
        </w:rPr>
        <w:t xml:space="preserve">Gemeindefinanzreformgesetz</w:t>
      </w:r>
    </w:p>
    <w:p>
      <w:r>
        <w:rPr>
          <w:color w:val="555555"/>
          <w:sz w:val="18"/>
        </w:rPr>
        <w:t xml:space="preserve">Stand: 10.06.2019 (konsolidierte Textfassung, kein amtliches Inkrafttretensdatum)</w:t>
      </w:r>
    </w:p>
    <w:p>
      <w:r>
        <w:t xml:space="preserve">Zur Festsetzung der Verteilungsschlüssel nach § 5a, jedoch nicht für die Regelung von Einzelfällen, dürfen das Statistische Bundesamt und die statistischen Ämter der Länder den Gemeinden und ihren Spitzenverbänden auf Landes- und Bundesebene auf Ersuchen die dafür erforderlichen Tabellen mit Ergebnissen der hierzu vom Statistischen Bundesamt und den statistischen Ämtern der Länder durchgeführten Berechnungen übermitteln, auch soweit Tabellenfelder nur einen einzigen Fall ausweisen. Die Tabellen dürfen nur für die Zwecke, für die sie übermittelt worden sind, nur durch Amtsträger, für den öffentlichen Dienst besonders Verpflichtete oder Personen, die entsprechend § 1 Absatz 2, 3 und 4 Nummer 2 des Verpflichtungsgesetzes auf die gewissenhafte Erfüllung ihrer Geheimhaltungspflicht förmlich verpflichtet worden sind, und nur räumlich, organisatorisch und personell getrennt von der Erfüllung solcher Verwaltungsaufgaben verwendet werden, für die sie gleichfalls von Bedeutung sein können. Sie sind von den Gemeinden und ihren Spitzenverbänden geheim zu halten und vier Jahre nach Festsetzung des Verteilungsschlüssels zu löschen. Werden innerhalb dieser Frist Einwendungen gegen die Berechnung des Verteilungsschlüssels erhoben, dürfen die Daten bis zur abschließenden Klärung der Einwendungen aufbewahrt werden, soweit sie für die Klärung erforderlich sind. § 16 Absatz 9 des Bundesstatistikgesetzes gilt entsprechend.</w:t>
      </w:r>
    </w:p>
    <w:p>
      <w:r>
        <w:rPr>
          <w:color w:val="555555"/>
          <w:sz w:val="17"/>
        </w:rPr>
        <w:t xml:space="preserve">Zitiervorschlag: § 5b GemFinRefG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https://recht.nulegal.eu/gesetze/GemFinRefG/5b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