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GemFinRefG — Verteilungsschlüssel für den Gemeindeanteil an der Umsatzsteuer</w:t>
      </w:r>
    </w:p>
    <w:p>
      <w:r>
        <w:rPr>
          <w:color w:val="555555"/>
          <w:sz w:val="18"/>
        </w:rPr>
        <w:t xml:space="preserve">Gemeindefinanzreformgesetz</w:t>
      </w:r>
    </w:p>
    <w:p>
      <w:r>
        <w:rPr>
          <w:color w:val="555555"/>
          <w:sz w:val="18"/>
        </w:rPr>
        <w:t xml:space="preserve">Stand: 09.12.2022 (konsolidierte Textfassung, kein amtliches Inkrafttretensdatum)</w:t>
      </w:r>
    </w:p>
    <w:p>
      <w:r>
        <w:t xml:space="preserve">(1) Der Gemeindeanteil an der Umsatzsteuer nach § 1 Absatz 1 und 2 des Finanzausgleichsgesetzes wird auf die einzelnen Länder nach Schlüsseln verteilt. Die Schlüssel bemessen sich nach der Summe der nach Absatz 2 Satz 2 und 3 ermittelten Gemeindeschlüssel je Land.</w:t>
      </w:r>
    </w:p>
    <w:p>
      <w:r>
        <w:t xml:space="preserve">(2) Der Anteil an der Umsatzsteuer nach Absatz 1 Satz 1 wird auf die einzelnen Gemeinden verteilt, indem eine in einer Dezimalzahl ausgedrückte Schlüsselzahl festgesetzt wird. Die Schlüsselzahl setzt sich zusammen</w:t>
      </w:r>
    </w:p>
    <w:p>
      <w:pPr>
        <w:ind w:left="420"/>
      </w:pPr>
      <w:r>
        <w:t xml:space="preserve">1. zu 25 Prozent aus dem Anteil der einzelnen Gemeinde an dem Gewerbesteueraufkommen, das als Summe der Jahre 2010 bis 2015 auf Grundlage des Realsteuervergleichs nach § 4 Nummer 2 des Finanz- und Personalstatistikgesetzes ermittelt wurde;</w:t>
      </w:r>
    </w:p>
    <w:p>
      <w:pPr>
        <w:ind w:left="420"/>
      </w:pPr>
      <w:r>
        <w:t xml:space="preserve">2. zu 50 Prozent aus dem Anteil der einzelnen Gemeinde an der Anzahl der sozialversicherungspflichtig Beschäftigten am Arbeitsort ohne Beschäftigte von Gebietskörperschaften und Sozialversicherungen sowie deren Einrichtungen, die als Summe für die Jahre 2013 bis 2015 der Beschäftigten- und Entgeltstatistik mit Stand 30. Juni des jeweiligen Jahres ermittelt wurde;</w:t>
      </w:r>
    </w:p>
    <w:p>
      <w:pPr>
        <w:ind w:left="420"/>
      </w:pPr>
      <w:r>
        <w:t xml:space="preserve">3. zu 25 Prozent aus dem Anteil der einzelnen Gemeinde an der Summe der sozialversicherungspflichtigen Entgelte am Arbeitsort ohne Entgelte von Beschäftigten von Gebietskörperschaften und Sozialversicherungen sowie deren Einrichtungen, die als Summe für die Jahre 2012 bis 2014 der Beschäftigten- und Entgeltstatistik ermittelt wurde.</w:t>
      </w:r>
    </w:p>
    <w:p>
      <w:r>
        <w:t xml:space="preserve">Die Merkmale nach Satz 2 Nummer 2 und 3 werden mit dem gewogenen durchschnittlichen örtlichen Gewerbesteuer-Hebesatz der jeweiligen Erfassungszeiträume gewichtet. Nach erfolgter erstmaliger Festsetzung des Verteilungsschlüssels wird der Schlüssel unter Beibehaltung der in Satz 2 Nummer 1, 2 und 3 festgelegten Anzahl von Jahren alle drei Jahre, erstmals zum 1. Januar 2021, aktualisiert. Die Aktualisierung erfolgt auf der Grundlage der Datenbasis, die beim Statistischen Bundesamt zum 1. April des dem Jahr der Aktualisierung vorangehenden Jahres verfügbar ist.</w:t>
      </w:r>
    </w:p>
    <w:p>
      <w:r>
        <w:t xml:space="preserve">(3) Die sich aus den Verteilungsschlüsseln nach Absatz 2 ergebenden Anteile an der Umsatzsteuer werden auf die einzelnen Länder jeweils nach Schlüsseln verteilt, die vom Bundesministerium der Finanzen durch Rechtsverordnung mit Zustimmung des Bundesrates festgesetzt werden. Die Länder stellen dem Bundesministerium der Finanzen die für die Ermittlung der Schlüssel notwendigen Daten zur Verfügung. Die Anteile an der Umsatzsteuer nach Absatz 2 werden jeweils nach Schlüsseln auf die Gemeinden aufgeteilt, die von den Ländern nach Absatz 2 ermittelt und durch Rechtsverordnung der jeweiligen Landesregierung festgesetzt werden. Die Länder ermitteln die Schlüsselzahlen ihrer Gemeinden auf der Grundlage von Schlüsselzahlen, die aus Bundessummen abgeleitet und durch die Länder auf Eins normiert werden.</w:t>
      </w:r>
    </w:p>
    <w:p>
      <w:r>
        <w:rPr>
          <w:color w:val="555555"/>
          <w:sz w:val="17"/>
        </w:rPr>
        <w:t xml:space="preserve">Zitiervorschlag: § 5a GemFinRefG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https://recht.nulegal.eu/gesetze/GemFinRefG/5a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