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GemFinEÜV (Brandenburg)</w:t>
      </w:r>
    </w:p>
    <w:p>
      <w:r>
        <w:rPr>
          <w:color w:val="555555"/>
          <w:sz w:val="18"/>
        </w:rPr>
        <w:t xml:space="preserve">Gemeindefinanzen-Ermächtigungsübertragungsverordnung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Ermächtigung der Landesregierung zum Erlass von Rechtsverordnungen nach den §§ 2, 4 Absatz 2, §§ 5, 5a Absatz 3 Satz 3, § 5d Absatz 2 und § 6 Absatz 8 des Gemeindefinanzreformgesetzes in der Fassung der Bekanntmachung vom 10. März 2009 (BGBl. I S. 502), das zuletzt durch Artikel 6 des Gesetzes vom 17. Dezember 2018 (BGBl. I S. 2522, 2523) geändert worden ist, wird auf das Ministerium der Finanzen übertragen.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GemFinEÜV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https://recht.nulegal.eu/gesetze/GemFinE%C3%9CV/1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GemFinEÜV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