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GemAusGO</w:t>
      </w:r>
    </w:p>
    <w:p>
      <w:r>
        <w:rPr>
          <w:color w:val="555555"/>
          <w:sz w:val="18"/>
        </w:rPr>
        <w:t xml:space="preserve">Geschäftsordnung für den Gemeinsamen Ausschuß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Ausführung des Artikels 53a des Grundgesetzes hat der Bundestag mit Zustimmung des Bundesrates für den Gemeinsamen Ausschuß die folgende Geschäftsordnung beschlossen:</w:t>
      </w:r>
    </w:p>
    <w:p>
      <w:r>
        <w:rPr>
          <w:color w:val="555555"/>
          <w:sz w:val="17"/>
        </w:rPr>
        <w:t xml:space="preserve">Zitiervorschlag: Eingangsformel GemAusGO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https://recht.nulegal.eu/gesetze/GemAusGO/eingangsformel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