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GemAusGO — Vorsitz des Gemeinsamen Ausschusses</w:t>
      </w:r>
    </w:p>
    <w:p>
      <w:r>
        <w:rPr>
          <w:color w:val="555555"/>
          <w:sz w:val="18"/>
        </w:rPr>
        <w:t xml:space="preserve">Geschäftsordnung für den Gemeinsamen Ausschuß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Präsident des Bundestages ist Vorsitzender des Gemeinsamen Ausschusses.</w:t>
      </w:r>
    </w:p>
    <w:p>
      <w:r>
        <w:t xml:space="preserve">(2) Der Gemeinsame Ausschuß wählt ein Mitglied, das dem Bundesrat angehört, zum ersten stellvertretenden Vorsitzenden. Der Gemeinsame Ausschuß kann weitere stellvertretende Vorsitzende wählen.</w:t>
      </w:r>
    </w:p>
    <w:p>
      <w:r>
        <w:t xml:space="preserve">(3) Die Stellvertreter vertreten den Vorsitzenden nach Maßgabe ihrer Reihenfolge.</w:t>
      </w:r>
    </w:p>
    <w:p>
      <w:r>
        <w:rPr>
          <w:color w:val="555555"/>
          <w:sz w:val="17"/>
        </w:rPr>
        <w:t xml:space="preserve">Zitiervorschlag: § 7 GemAusGO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https://recht.nulegal.eu/gesetze/GemAusGO/7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