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GemAusGO — Ausscheiden von Abgeordneten</w:t>
      </w:r>
    </w:p>
    <w:p>
      <w:r>
        <w:rPr>
          <w:color w:val="555555"/>
          <w:sz w:val="18"/>
        </w:rPr>
        <w:t xml:space="preserve">Geschäftsordnung für den Gemeinsamen Ausschuß</w:t>
      </w:r>
    </w:p>
    <w:p>
      <w:r>
        <w:rPr>
          <w:color w:val="555555"/>
          <w:sz w:val="18"/>
        </w:rPr>
        <w:t xml:space="preserve">Stand: 10.06.2019 (konsolidierte Textfassung, kein amtliches Inkrafttretensdatum)</w:t>
      </w:r>
    </w:p>
    <w:p>
      <w:r>
        <w:t xml:space="preserve">Ein dem Gemeinsamen Ausschuß angehörender Abgeordneter scheidet aus diesem zu dem Zeitpunkt aus, zu dem er den Verzicht auf seine Mitgliedschaft im Gemeinsamen Ausschuß dem Präsidenten des Bundestages gegenüber erklärt, die Mitgliedschaft im Bundestag verliert oder aus der Fraktion ausscheidet, die ihn vorgeschlagen hat.</w:t>
      </w:r>
    </w:p>
    <w:p>
      <w:r>
        <w:rPr>
          <w:color w:val="555555"/>
          <w:sz w:val="17"/>
        </w:rPr>
        <w:t xml:space="preserve">Zitiervorschlag: § 3 GemAusGO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https://recht.nulegal.eu/gesetze/GemAusGO/3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