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GemAusGO — Anwendbarkeit der Geschäftsordnung des Bundestages</w:t>
      </w:r>
    </w:p>
    <w:p>
      <w:r>
        <w:rPr>
          <w:color w:val="555555"/>
          <w:sz w:val="18"/>
        </w:rPr>
        <w:t xml:space="preserve">Geschäftsordnung für den Gemeinsamen Ausschuß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übrigen finden auf das Verfahren des Ausschusses die Vorschriften der Geschäftsordnung des Bundestages über das Verfahren im Bundestag entsprechende Anwendung.</w:t>
      </w:r>
    </w:p>
    <w:p>
      <w:r>
        <w:t xml:space="preserve">(2) Können nach den nach Absatz 1 anwendbaren Vorschriften der Geschäftsordnung des Bundestages bestimmte Rechte nur von einer Mehrzahl von Mitgliedern ausgeübt werden, so können diese Rechte im Gemeinsamen Ausschuß von zwei Mitgliedern ausgeübt werden.</w:t>
      </w:r>
    </w:p>
    <w:p>
      <w:r>
        <w:rPr>
          <w:color w:val="555555"/>
          <w:sz w:val="17"/>
        </w:rPr>
        <w:t xml:space="preserve">Zitiervorschlag: § 18 GemAusGO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https://recht.nulegal.eu/gesetze/GemAusGO/18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