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GemAusGO — Wahlen</w:t>
      </w:r>
    </w:p>
    <w:p>
      <w:r>
        <w:rPr>
          <w:color w:val="555555"/>
          <w:sz w:val="18"/>
        </w:rPr>
        <w:t xml:space="preserve">Geschäftsordnung für den Gemeinsamen Ausschuß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Wahlen werden mit verdeckten Stimmzetteln durchgeführt.</w:t>
      </w:r>
    </w:p>
    <w:p>
      <w:r>
        <w:rPr>
          <w:color w:val="555555"/>
          <w:sz w:val="17"/>
        </w:rPr>
        <w:t xml:space="preserve">Zitiervorschlag: § 15 GemAusGO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https://recht.nulegal.eu/gesetze/GemAusGO/15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