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GemAusGO — Beschlußmehrheiten</w:t>
      </w:r>
    </w:p>
    <w:p>
      <w:r>
        <w:rPr>
          <w:color w:val="555555"/>
          <w:sz w:val="18"/>
        </w:rPr>
        <w:t xml:space="preserve">Geschäftsordnung für den Gemeinsamen Ausschuß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Gemeinsame Ausschuß faßt seine Beschlüsse mit der Mehrheit der abgegebenen Stimmen, soweit nicht das Grundgesetz etwas anderes bestimmt.</w:t>
      </w:r>
    </w:p>
    <w:p>
      <w:r>
        <w:t xml:space="preserve">(2) Bei Schlußabstimmungen über Gesetze ist das Ergebnis der Abstimmung durch Zählen der Stimmen festzustellen.</w:t>
      </w:r>
    </w:p>
    <w:p>
      <w:r>
        <w:rPr>
          <w:color w:val="555555"/>
          <w:sz w:val="17"/>
        </w:rPr>
        <w:t xml:space="preserve">Zitiervorschlag: § 13 GemAusGO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https://recht.nulegal.eu/gesetze/GemAusGO/13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