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GemAusGO — Nichtöffentlichkeit</w:t>
      </w:r>
    </w:p>
    <w:p>
      <w:r>
        <w:rPr>
          <w:color w:val="555555"/>
          <w:sz w:val="18"/>
        </w:rPr>
        <w:t xml:space="preserve">Geschäftsordnung für den Gemeinsamen Ausschuß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Beratungen des Gemeinsamen Ausschusses sind nicht öffentlich. § 69 Abs. 2 Satz 1 und Abs. 7 der Geschäftsordnung des Bundestages, die Geheimschutzordnung des Bundestages und die Ausführungsbestimmungen dazu finden entsprechende Anwendung.</w:t>
      </w:r>
    </w:p>
    <w:p>
      <w:r>
        <w:rPr>
          <w:color w:val="555555"/>
          <w:sz w:val="17"/>
        </w:rPr>
        <w:t xml:space="preserve">Zitiervorschlag: § 10 GemAusGO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https://recht.nulegal.eu/gesetze/GemAusGO/10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