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GemAV — Außerkrafttreten</w:t>
      </w:r>
    </w:p>
    <w:p>
      <w:r>
        <w:rPr>
          <w:color w:val="555555"/>
          <w:sz w:val="18"/>
        </w:rPr>
        <w:t xml:space="preserve">Verordnung zu den gemeinsamen Ausschreibungen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Diese Verordnung tritt am 31. Dezember 2022 außer Kraft.</w:t>
      </w:r>
    </w:p>
    <w:p>
      <w:r>
        <w:rPr>
          <w:color w:val="555555"/>
          <w:sz w:val="17"/>
        </w:rPr>
        <w:t xml:space="preserve">Zitiervorschlag: § 20 GemAV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