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GemAV — Begriffsbestimmungen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31.12.2020 bis 01.01.2021. Dies ist nicht die aktuelle Fassung.</w:t>
      </w:r>
    </w:p>
    <w:p>
      <w:r>
        <w:t xml:space="preserve">(1) Im Sinn dieser Verordnung ist oder sind:</w:t>
      </w:r>
    </w:p>
    <w:p>
      <w:pPr>
        <w:ind w:left="420"/>
      </w:pPr>
      <w:r>
        <w:t xml:space="preserve">1. „gemeinsame Ausschreibungen“ die gemeinsamen Ausschreibungen von Windenergieanlagen an Land und Solaranlagen nach dieser Verordnung,</w:t>
      </w:r>
    </w:p>
    <w:p>
      <w:pPr>
        <w:ind w:left="420"/>
      </w:pPr>
      <w:r>
        <w:t xml:space="preserve">2. „Höchstwertgebiet“ ein Gebiet, in dem für Windenergieanlagen an Land bei den gemeinsamen Ausschreibungen in den Jahren 2019 und 2020 jeweils ein einheitlicher Höchstwert maßgebend ist,</w:t>
      </w:r>
    </w:p>
    <w:p>
      <w:pPr>
        <w:ind w:left="420"/>
      </w:pPr>
      <w:r>
        <w:t xml:space="preserve">3. „landkreisübergreifende Gebote“ Gebote, die sich auf Windenergieanlagen an Land oder Solaranlagen beziehen, die in mehr als einem Landkreis errichtet werden,</w:t>
      </w:r>
    </w:p>
    <w:p>
      <w:pPr>
        <w:ind w:left="420"/>
      </w:pPr>
      <w:r>
        <w:t xml:space="preserve">4. „modifizierter Gebotswert“ bei Geboten, die sich auf Windenergieanlagen an Land oder Solaranlagen beziehen, die in einem von der Bundesnetzagentur nach § 11 Absatz 1 Satz 1 Nummer 1 festgelegten Verteilernetzausbaugebiet errichtet und nicht an das Höchstspannungsnetz angeschlossen werden, die Summe aus dem Gebotswert und der von der Bundesnetzagentur nach § 11 Absatz 1 Satz 1 Nummer 2 festgelegten Verteilernetzkomponente für Windenergieanlagen an Land oder Solaranlagen in diesem Verteilernetzausbaugebiet, wobei bei landkreisübergreifenden Geboten nach § 10 Absatz 2 die jeweils höchste Verteilernetzkomponente für das gesamte Gebot maßgeblich ist,</w:t>
      </w:r>
    </w:p>
    <w:p>
      <w:pPr>
        <w:ind w:left="420"/>
      </w:pPr>
      <w:r>
        <w:t xml:space="preserve">5. „Verteilernetzausbaugebiet“ ein Landkreis, in dem nach Maßgabe der Anlage 1 Nummer 1 die maximale Rückspeisung von Strom aus erneuerbaren Energien in das vorgelagerte Höchstspannungsnetz größer ist als die Höchstlast, wobei die in der Anlage 2 aufgeführten Landkreise keine Verteilernetzausbaugebiete sind, und</w:t>
      </w:r>
    </w:p>
    <w:p>
      <w:pPr>
        <w:ind w:left="420"/>
      </w:pPr>
      <w:r>
        <w:t xml:space="preserve">6. „Verteilernetzkomponente“ der nach § 10 zu ermittelnde Aufschlag auf den Gebotswert für die Zwecke der Gebotsreihung nach § 7 Absatz 1 Satz 4 und 5 bei Geboten für Windenergieanlagen an Land oder Solaranlagen, die in einem Verteilernetzausbaugebiet errichtet und die nicht unmittelbar an das Höchstspannungsnetz angeschlossen werden.</w:t>
      </w:r>
    </w:p>
    <w:p>
      <w:r>
        <w:t xml:space="preserve">(2) Als Landkreise im Sinn dieser Verordnung gelten auch die kreisfreien Städte und die Stadtkreise. Maßgeblich ist der Zuschnitt der Landkreise am 31. März 2017.</w:t>
      </w:r>
    </w:p>
    <w:p>
      <w:r>
        <w:rPr>
          <w:color w:val="555555"/>
          <w:sz w:val="17"/>
        </w:rPr>
        <w:t xml:space="preserve">Zitiervorschlag: § 2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