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GemAV — Evaluierung der Höchstwerte</w:t>
      </w:r>
    </w:p>
    <w:p>
      <w:r>
        <w:rPr>
          <w:color w:val="555555"/>
          <w:sz w:val="18"/>
        </w:rPr>
        <w:t xml:space="preserve">Verordnung zu den gemeinsamen Ausschreibungen</w:t>
      </w:r>
    </w:p>
    <w:p>
      <w:r>
        <w:rPr>
          <w:color w:val="555555"/>
          <w:sz w:val="18"/>
        </w:rPr>
        <w:t xml:space="preserve">Historische Fassung: Stand 31.12.2020 bis 01.01.2021. Dies ist nicht die aktuelle Fassung.</w:t>
      </w:r>
    </w:p>
    <w:p>
      <w:r>
        <w:t xml:space="preserve">Das Umweltbundesamt wird ab dem Jahr 2019 evaluieren, ob die Höchstwertgebiete nach § 15 die unterschiedlichen Windverhältnisse in der Bundesrepublik Deutschland sachgerecht abbilden und ob die Höchstwerte nach § 16 angemessen sind.</w:t>
      </w:r>
    </w:p>
    <w:p>
      <w:r>
        <w:rPr>
          <w:color w:val="555555"/>
          <w:sz w:val="17"/>
        </w:rPr>
        <w:t xml:space="preserve">Zitiervorschlag: § 18 GemAV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