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GemAV — Höchstwerte bei landkreisübergreifenden Geboten</w:t>
      </w:r>
    </w:p>
    <w:p>
      <w:r>
        <w:rPr>
          <w:color w:val="555555"/>
          <w:sz w:val="18"/>
        </w:rPr>
        <w:t xml:space="preserve">Verordnung zu den gemeinsamen Ausschreibungen</w:t>
      </w:r>
    </w:p>
    <w:p>
      <w:r>
        <w:rPr>
          <w:color w:val="555555"/>
          <w:sz w:val="18"/>
        </w:rPr>
        <w:t xml:space="preserve">Historische Fassung: Stand 31.12.2020 bis 01.01.2021. Dies ist nicht die aktuelle Fassung.</w:t>
      </w:r>
    </w:p>
    <w:p>
      <w:r>
        <w:t xml:space="preserve">Bei landkreisübergreifenden Geboten ist der niedrigste Höchstwert in den betroffenen Landkreisen für das gesamte Gebot maßgeblich.</w:t>
      </w:r>
    </w:p>
    <w:p>
      <w:r>
        <w:rPr>
          <w:color w:val="555555"/>
          <w:sz w:val="17"/>
        </w:rPr>
        <w:t xml:space="preserve">Zitiervorschlag: § 17 GemAV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https://recht.nulegal.eu/gesetze/GemAV/17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