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GemAV — Höchstwerte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02.02.2020 bis 01.01.2021. Dies ist nicht die aktuelle Fassung.</w:t>
      </w:r>
    </w:p>
    <w:p>
      <w:r>
        <w:t xml:space="preserve">(1) Abweichend von § 36b des Erneuerbare-Energien-Gesetzes betragen die Höchstwerte für Strom aus Windenergieanlagen an Land in einem Gebotstermin der gemeinsamen Ausschreibungen in den Jahren 2019 bis 2022:</w:t>
      </w:r>
    </w:p>
    <w:p>
      <w:pPr>
        <w:ind w:left="420"/>
      </w:pPr>
      <w:r>
        <w:t xml:space="preserve">1. für das Höchstwertgebiet 1: 100 Prozent des Höchstwertes nach § 36b des Erneuerbare-Energien-Gesetzes,</w:t>
      </w:r>
    </w:p>
    <w:p>
      <w:pPr>
        <w:ind w:left="420"/>
      </w:pPr>
      <w:r>
        <w:t xml:space="preserve">2. für das Höchstwertgebiet 2: 116 Prozent des Höchstwertes nach § 36b des Erneuerbare-Energien-Gesetzes und</w:t>
      </w:r>
    </w:p>
    <w:p>
      <w:pPr>
        <w:ind w:left="420"/>
      </w:pPr>
      <w:r>
        <w:t xml:space="preserve">3. für das Höchstwertgebiet 3: 129 Prozent des Höchstwertes nach § 36b des Erneuerbare-Energien-Gesetzes.</w:t>
      </w:r>
    </w:p>
    <w:p>
      <w:r>
        <w:t xml:space="preserve">(2) Der für die Anwendung von Absatz 1 maßgebliche Höchstwert nach § 36b des Erneuerbare-Energien-Gesetzes ist der letzte vor der Bekanntmachung des Gebotstermins der gemeinsamen Ausschreibung bekanntgemachte Höchstwert in den energieträgerspezifischen Ausschreibungen für Windenergieanlagen an Land nach den §§ 29 und § 36b des Erneuerbare-Energien-Gesetzes.</w:t>
      </w:r>
    </w:p>
    <w:p>
      <w:r>
        <w:rPr>
          <w:color w:val="555555"/>
          <w:sz w:val="17"/>
        </w:rPr>
        <w:t xml:space="preserve">Zitiervorschlag: § 16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