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GemAV — Höchstwerte für Strom aus Solaranlagen</w:t>
      </w:r>
    </w:p>
    <w:p>
      <w:r>
        <w:rPr>
          <w:color w:val="555555"/>
          <w:sz w:val="18"/>
        </w:rPr>
        <w:t xml:space="preserve">Verordnung zu den gemeinsamen Ausschreibungen</w:t>
      </w:r>
    </w:p>
    <w:p>
      <w:r>
        <w:rPr>
          <w:color w:val="555555"/>
          <w:sz w:val="18"/>
        </w:rPr>
        <w:t xml:space="preserve">Historische Fassung: Stand 10.06.2019 bis 01.01.2021. Dies ist nicht die aktuelle Fassung.</w:t>
      </w:r>
    </w:p>
    <w:p>
      <w:r>
        <w:t xml:space="preserve">Der Höchstwert für Strom aus Solaranlagen entspricht in einem Gebotstermin der gemeinsamen Ausschreibungen dem zur Zeit der Bekanntmachung des Gebotstermins geltenden Höchstwert nach den §§ 29 und 37b des Erneuerbare-Energien-Gesetzes.</w:t>
      </w:r>
    </w:p>
    <w:p>
      <w:r>
        <w:rPr>
          <w:color w:val="555555"/>
          <w:sz w:val="17"/>
        </w:rPr>
        <w:t xml:space="preserve">Zitiervorschlag: § 12 GemAV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https://recht.nulegal.eu/gesetze/GemAV/12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