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GemAV — Verteilernetzkomponente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(1) Die Verteilernetzkomponente für Windenergieanlagen an Land wird mit der Formel in der Anlage 1 Nummer 2a errechnet und die Verteilernetzkomponente für Solaranlagen wird mit der Formel in der Anlage 1 Nummer 2b errechnet.</w:t>
      </w:r>
    </w:p>
    <w:p>
      <w:r>
        <w:t xml:space="preserve">(2) Bei landkreisübergreifenden Geboten ist die höchste Verteilernetzkomponente für den betroffenen Energieträger in den betroffenen Verteilernetzausbaugebieten für das gesamte Gebot maßgeblich.</w:t>
      </w:r>
    </w:p>
    <w:p>
      <w:r>
        <w:rPr>
          <w:color w:val="555555"/>
          <w:sz w:val="17"/>
        </w:rPr>
        <w:t xml:space="preserve">Zitiervorschlag: § 10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