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GemAV — Anwendungsbereich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(1) Diese Verordnung regelt die gemeinsamen Ausschreibungen für Windenergieanlagen an Land und Solaranlagen nach § 39i des Erneuerbare-Energien-Gesetzes.</w:t>
      </w:r>
    </w:p>
    <w:p>
      <w:r>
        <w:t xml:space="preserve">(2) In den gemeinsamen Ausschreibungen können nur Gebote für Windenergieanlagen an Land und Solaranlagen abgegeben werden, für die die Marktprämie nach § 22 Absatz 2 und 3 des Erneuerbare-Energien-Gesetzes durch Ausschreibungen ermittelt wird.</w:t>
      </w:r>
    </w:p>
    <w:p>
      <w:r>
        <w:rPr>
          <w:color w:val="555555"/>
          <w:sz w:val="17"/>
        </w:rPr>
        <w:t xml:space="preserve">Zitiervorschlag: § 1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