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GeldwZV (Brandenburg)</w:t>
      </w:r>
    </w:p>
    <w:p>
      <w:r>
        <w:rPr>
          <w:color w:val="555555"/>
          <w:sz w:val="18"/>
        </w:rPr>
        <w:t xml:space="preserve">Geldwäschezuständigkeitsverordnung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13. August 2012</w:t>
      </w:r>
    </w:p>
    <w:p>
      <w:r>
        <w:t xml:space="preserve">Der Minister für Wirtschaft</w:t>
      </w:r>
    </w:p>
    <w:p>
      <w:r>
        <w:t xml:space="preserve">und Europaangelegenheiten</w:t>
      </w:r>
    </w:p>
    <w:p>
      <w:r>
        <w:t xml:space="preserve">Ralf Christoffers</w:t>
      </w:r>
    </w:p>
    <w:p>
      <w:r>
        <w:rPr>
          <w:color w:val="555555"/>
          <w:sz w:val="17"/>
        </w:rPr>
        <w:t xml:space="preserve">Zitiervorschlag: § 2 GeldwZV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