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GeldwZV (Brandenburg)</w:t>
      </w:r>
    </w:p>
    <w:p>
      <w:r>
        <w:rPr>
          <w:color w:val="555555"/>
          <w:sz w:val="18"/>
        </w:rPr>
        <w:t xml:space="preserve">Geldwäschezuständigkeitsverordnung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Zuständige Stelle nach § 50 Nummer 9 des Geldwäschegesetzes ist für die Verpflichteten nach § 2 Nummer 6 (Finanzunternehmen), Nummer 8 (Versicherungsvermittler), Nummer 13 (Dienstleister für Gesellschaften und für Treuhandvermögen oder Treuhänder), Nummer 14 (Immobilienmakler) und Nummer 16 (Güterhändler) des Geldwäschegesetzes das für Wirtschaft zuständige Ministerium.</w:t>
      </w:r>
    </w:p>
    <w:p>
      <w:r>
        <w:rPr>
          <w:color w:val="555555"/>
          <w:sz w:val="17"/>
        </w:rPr>
        <w:t xml:space="preserve">Zitiervorschlag: § 1 GeldwZV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https://recht.nulegal.eu/gesetze/GeldwZV/1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