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GeldWNOG</w:t>
      </w:r>
    </w:p>
    <w:p>
      <w:r>
        <w:rPr>
          <w:color w:val="555555"/>
          <w:sz w:val="18"/>
        </w:rPr>
        <w:t xml:space="preserve">Gesetz über den Erlaß von Rechtsverordnungen auf dem Gebiet der Neuordnung des Geldwesens und über die Neufestsetzung des Nennkapitals von Geldinstituten in der Rechtsform von Kapitalgesellschaften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Abschnitt I dieses Gesetzes gilt nach Maßgabe der §§ 13 und 14 des Gesetzes über die Stellung des Landes Berlin im Finanzsystem des Bundes (Drittes Überleitungsgesetz) vom 4. Januar 1952 (Bundesgesetzbl. I S. 1) auch im Land Berlin. Soweit in den §§ 1, 2 und 5 auf Vorschriften über die Neuordnung des Geldwesens Bezug genommen ist, treten in Berlin an deren Stelle die dort geltenden entsprechenden Vorschriften.</w:t>
      </w:r>
    </w:p>
    <w:p>
      <w:r>
        <w:t xml:space="preserve">(2) In den auf Grund des Gesetzes zu erlassenden Rechtsverordnungen ist zu bestimmen, mit welcher Maßgabe diese in Berlin anzuwenden sind.</w:t>
      </w:r>
    </w:p>
    <w:p>
      <w:r>
        <w:rPr>
          <w:color w:val="555555"/>
          <w:sz w:val="17"/>
        </w:rPr>
        <w:t xml:space="preserve">Zitiervorschlag: § 9 GeldWNOG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https://recht.nulegal.eu/gesetze/GeldWNOG/9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