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GeldWNOG</w:t>
      </w:r>
    </w:p>
    <w:p>
      <w:r>
        <w:rPr>
          <w:color w:val="555555"/>
          <w:sz w:val="18"/>
        </w:rPr>
        <w:t xml:space="preserve">Gesetz über den Erlaß von Rechtsverordnungen auf dem Gebiet der Neuordnung des Geldwesens und über die Neufestsetzung des Nennkapitals von Geldinstituten in der Rechtsform von Kapitalgesellschaften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10 GeldWNOG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https://recht.nulegal.eu/gesetze/GeldWNOG/10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