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GeldWNOBauspAnO</w:t>
      </w:r>
    </w:p>
    <w:p>
      <w:r>
        <w:rPr>
          <w:color w:val="555555"/>
          <w:sz w:val="18"/>
        </w:rPr>
        <w:t xml:space="preserve">Anordnung über die Bausparverhältnisse aus Anlaß der Neuordnung des Geldwesens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 Abs. 1 der 33. Durchführungsverordnung zum Umstellungsgesetz (Bausparkassenverordnung) wird im Einvernehmen mit den übrigen Aufsichtsbehörden und der Bank deutscher Länder folgendes angeordnet:</w:t>
      </w:r>
    </w:p>
    <w:p>
      <w:r>
        <w:rPr>
          <w:color w:val="555555"/>
          <w:sz w:val="17"/>
        </w:rPr>
        <w:t xml:space="preserve">Zitiervorschlag: Eingangsformel GeldWNOBauspAnO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https://recht.nulegal.eu/gesetze/GeldWNOBauspAnO/eingangsformel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