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GeldWNOBauspAnO — Schlußbestimmungen</w:t>
      </w:r>
    </w:p>
    <w:p>
      <w:r>
        <w:rPr>
          <w:color w:val="555555"/>
          <w:sz w:val="18"/>
        </w:rPr>
        <w:t xml:space="preserve">Anordnung über die Bausparverhältnisse aus Anlaß der Neuordnung des Geldwesens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Verträgen der öffentlich-rechtlichen Bausparkassen und bei Vollfinanzierungsverträgen der privaten Bausparkassen gilt die Vertragssumme als Bausparsumme.</w:t>
      </w:r>
    </w:p>
    <w:p>
      <w:r>
        <w:t xml:space="preserve">(2) Die Bestimmungen dieser Anordnung gelten sinngemäß für Wohnsparverträge (§ 9 Abs. 2 BKVO).</w:t>
      </w:r>
    </w:p>
    <w:p>
      <w:r>
        <w:rPr>
          <w:color w:val="555555"/>
          <w:sz w:val="17"/>
        </w:rPr>
        <w:t xml:space="preserve">Zitiervorschlag: § 6 GeldWNOBauspAnO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https://recht.nulegal.eu/gesetze/GeldWNOBauspAnO/6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