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GeldWNOBauSparkAnO</w:t>
      </w:r>
    </w:p>
    <w:p>
      <w:r>
        <w:rPr>
          <w:color w:val="555555"/>
          <w:sz w:val="18"/>
        </w:rPr>
        <w:t xml:space="preserve">Anordnung über die Bausparkassen mit Sitz außerhalb des Währungsgebietes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7 und 9 der Dreiunddreißigsten Durchführungsverordnung zum Umstellungsgesetz (Bausparkassenverordnung) wird im Einvernehmen mit den übrigen Aufsichtsbehörden und der Bank deutscher Länder folgendes angeordnet:</w:t>
      </w:r>
    </w:p>
    <w:p>
      <w:r>
        <w:rPr>
          <w:color w:val="555555"/>
          <w:sz w:val="17"/>
        </w:rPr>
        <w:t xml:space="preserve">Zitiervorschlag: Eingangsformel GeldWNOBauSparkAnO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https://recht.nulegal.eu/gesetze/GeldWNOBauSparkAnO/eingangsformel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