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GeldWNOBauSparkAnO</w:t>
      </w:r>
    </w:p>
    <w:p>
      <w:r>
        <w:rPr>
          <w:color w:val="555555"/>
          <w:sz w:val="18"/>
        </w:rPr>
        <w:t xml:space="preserve">Anordnung über die Bausparkassen mit Sitz außerhalb des Währungsgebietes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Bausparkassen der in § 1 bezeichneten Art haben an Stelle eines Reichsmarkabschlusses ihre Vermögenswerte und diejenigen Verpflichtungen, für die sie im Währungsgebiet in Anspruch genommen werden können, auf den 20. Juni 1948 in Reichsmark aufzustellen.</w:t>
      </w:r>
    </w:p>
    <w:p>
      <w:r>
        <w:t xml:space="preserve">(2) Die Aufstellung der Vermögenswerte und Verpflichtungen nach Absatz 1 ist im Währungsgebiet nach den für den Jahresabschluß geltenden Vorschriften zu veröffentlichen.</w:t>
      </w:r>
    </w:p>
    <w:p>
      <w:r>
        <w:rPr>
          <w:color w:val="555555"/>
          <w:sz w:val="17"/>
        </w:rPr>
        <w:t xml:space="preserve">Zitiervorschlag: § 4 GeldWNOBauSparkAnO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https://recht.nulegal.eu/gesetze/GeldWNOBauSparkAnO/4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