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GeldWNOBauSparkAnO</w:t>
      </w:r>
    </w:p>
    <w:p>
      <w:r>
        <w:rPr>
          <w:color w:val="555555"/>
          <w:sz w:val="18"/>
        </w:rPr>
        <w:t xml:space="preserve">Anordnung über die Bausparkassen mit Sitz außerhalb des Währungsgebietes aus Anlaß der Neuordnung des Geldwesens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Bausparkassen der in § 1 bezeichneten Art haben in die Umstellungsrechnung einzustellen:</w:t>
      </w:r>
    </w:p>
    <w:p>
      <w:pPr>
        <w:ind w:left="420"/>
      </w:pPr>
      <w:r>
        <w:t xml:space="preserve">1. Auf der Passivseite</w:t>
      </w:r>
    </w:p>
    <w:p>
      <w:pPr>
        <w:ind w:left="780"/>
      </w:pPr>
      <w:r>
        <w:t xml:space="preserve">a) ihre Verbindlichkeiten (einschließlich Rückstellungen) im Sinne von § 4 Abs. 1 ABuchstaben a bis c der Bausparkassenverordnung insoweit, als sie wegen dieser Verbindlichkeiten nach § 2 in Anspruch genommen werden können,</w:t>
      </w:r>
    </w:p>
    <w:p>
      <w:pPr>
        <w:ind w:left="780"/>
      </w:pPr>
      <w:r>
        <w:t xml:space="preserve">b) das vorläufige Eigenkapital nach Maßgabe des § 4 Abs. 1 A Buchstabe d der Bausparkassenverordnung.</w:t>
      </w:r>
    </w:p>
    <w:p>
      <w:pPr>
        <w:ind w:left="420"/>
      </w:pPr>
      <w:r>
        <w:t xml:space="preserve">2. Auf der Aktivseite</w:t>
      </w:r>
    </w:p>
    <w:p>
      <w:r>
        <w:t xml:space="preserve">alle Vermögensgegenstände im Sinne von § 4 Abs. 1 B Buchstaben a bis d der Bausparkassenverordnung, soweit sie am 21. Juni 1948 im Währungsgebiet vorhanden waren.</w:t>
      </w:r>
    </w:p>
    <w:p>
      <w:r>
        <w:t xml:space="preserve">(2) Soweit in den Durchführungsverordnungen zum Umstellungsgesetz auf das frühere Eigenkapital Bezug genommen ist, ist bei Bausparkassen der in § 1 bezeichneten Art nur der auf das Währungsgebiet entfallende Teilbetrag des früheren Eigenkapitals zu berücksichtigen. Dieser Teilbetrag errechnet sich aus dem in Reichsmark berechneten Verhältnis der Verbindlichkeiten, für die sie nach § 2 im Währungsgebiet in Anspruch genommen werden können, zu den Gesamtverbindlichkeiten, die am 20. Juni 1948 bestanden haben.</w:t>
      </w:r>
    </w:p>
    <w:p>
      <w:r>
        <w:rPr>
          <w:color w:val="555555"/>
          <w:sz w:val="17"/>
        </w:rPr>
        <w:t xml:space="preserve">Zitiervorschlag: § 3 GeldWNOBauSparkAnO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https://recht.nulegal.eu/gesetze/GeldWNOBauSparkAnO/3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