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GeistwStiftG — Organe der Stiftung</w:t>
      </w:r>
    </w:p>
    <w:p>
      <w:r>
        <w:rPr>
          <w:color w:val="555555"/>
          <w:sz w:val="18"/>
        </w:rPr>
        <w:t xml:space="preserve">Gesetz zur Errichtung einer Stiftung Deutsche Geisteswissenschaftliche Institute im Ausland, Bonn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Organe der Stiftung sind</w:t>
      </w:r>
    </w:p>
    <w:p>
      <w:pPr>
        <w:ind w:left="420"/>
      </w:pPr>
      <w:r>
        <w:t xml:space="preserve">1. der Stiftungsrat,</w:t>
      </w:r>
    </w:p>
    <w:p>
      <w:pPr>
        <w:ind w:left="420"/>
      </w:pPr>
      <w:r>
        <w:t xml:space="preserve">2. die oder der Vorsitzende des Stiftungsrates,</w:t>
      </w:r>
    </w:p>
    <w:p>
      <w:pPr>
        <w:ind w:left="420"/>
      </w:pPr>
      <w:r>
        <w:t xml:space="preserve">3. die Direktionsversammlung,</w:t>
      </w:r>
    </w:p>
    <w:p>
      <w:pPr>
        <w:ind w:left="420"/>
      </w:pPr>
      <w:r>
        <w:t xml:space="preserve">4. die Direktorinnen oder Direktoren der Institute,</w:t>
      </w:r>
    </w:p>
    <w:p>
      <w:pPr>
        <w:ind w:left="420"/>
      </w:pPr>
      <w:r>
        <w:t xml:space="preserve">5. die Geschäftsführerin oder der Geschäftsführer.</w:t>
      </w:r>
    </w:p>
    <w:p>
      <w:r>
        <w:rPr>
          <w:color w:val="555555"/>
          <w:sz w:val="17"/>
        </w:rPr>
        <w:t xml:space="preserve">Zitiervorschlag: § 5 GeistwStiftG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https://recht.nulegal.eu/gesetze/GeistwStiftG/5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