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GeistwStiftG — Beschäftigte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Auf die Arbeits- und Ausbildungsverhältnisse der Beschäftigten und Auszubildenden der Stiftung sind die für die Beschäftigten und Auszubildenden des Bundes jeweils geltenden Tarifverträge und sonstigen Bestimmungen anzuwenden.</w:t>
      </w:r>
    </w:p>
    <w:p>
      <w:r>
        <w:t xml:space="preserve">(2) Die Satzung kann mit Genehmigung des Bundesministeriums für Bildung und Forschung und Zustimmung der Personalvertretung abweichend von § 119 Absatz 3 des Bundespersonalvertretungsgesetzes für die Wahl des Hauptpersonalrats an die strukturellen Besonderheiten der Stiftung angepasste Regelungen treffen. Für die in den Instituten tätigen lokal Beschäftigten gilt das Ortsrecht des jeweiligen Gastlandes.</w:t>
      </w:r>
    </w:p>
    <w:p>
      <w:r>
        <w:rPr>
          <w:color w:val="555555"/>
          <w:sz w:val="17"/>
        </w:rPr>
        <w:t xml:space="preserve">Zitiervorschlag: § 15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